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6"/>
          <w:shd w:fill="auto" w:val="clear"/>
        </w:rPr>
        <w:t xml:space="preserve">Zásady ochrany osobních údaj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6"/>
          <w:shd w:fill="auto" w:val="clear"/>
        </w:rPr>
        <w:t xml:space="preserve">ů</w:t>
      </w:r>
    </w:p>
    <w:p>
      <w:pPr>
        <w:widowControl w:val="fals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I.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Základní ustanovení</w:t>
      </w:r>
    </w:p>
    <w:p>
      <w:pPr>
        <w:widowControl w:val="false"/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Správcem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podle čl. 4 bod 7 nař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ízení Evropského parlamentu a Rady (EU) 2016/679 o ochran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 fyzick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ých osob v souvislosti se zpracováním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a o voln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ém pohybu 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ěchto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(d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ále jen: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GDPR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”) je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Barbora Tř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let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IČ 75291282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se s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ídlem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 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řebešovsk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 2252, Praha 9,19300 (dále jen: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spr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ávce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“).</w:t>
      </w:r>
    </w:p>
    <w:p>
      <w:pPr>
        <w:widowControl w:val="false"/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Kontaktní údaje správce jsou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adresa: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 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řebešovsk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 2252, Praha 9,19300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email: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 info@sillydoggo.cz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telefon: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 606675979</w:t>
      </w:r>
    </w:p>
    <w:p>
      <w:pPr>
        <w:widowControl w:val="false"/>
        <w:numPr>
          <w:ilvl w:val="0"/>
          <w:numId w:val="6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Osobními údaji se rozumí ve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šker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 informace o identifikované nebo identifikovatelné fyzické osob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ě; identifikovatelnou fyzickou osobou je fyzick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 osoba, kterou lze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ímo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či nepř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ímo identifikovat, zejména odkazem na ur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čit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ý identifikátor, nap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íklad jméno, identifika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íslo, loka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údaje, sí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ťov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ý identifikátor nebo na jeden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či 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íce zvlá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štn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ích prvk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fyzick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é, fyziologické, genetické, psychické, ekonomické, kulturní nebo spole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čensk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 identity této fyzické osoby.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Správce nejmenoval pov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ěřence pro ochranu osobn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ů. 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II.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Zdroje a kategorie zpracovávaných osobních údaj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ů</w:t>
      </w:r>
    </w:p>
    <w:p>
      <w:pPr>
        <w:widowControl w:val="false"/>
        <w:numPr>
          <w:ilvl w:val="0"/>
          <w:numId w:val="9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Správce zpracovává osobní údaje, které jste mu poskytl/a nebo osobní údaje, které správce získal na základ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 plněn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Va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objednávky.</w:t>
      </w:r>
    </w:p>
    <w:p>
      <w:pPr>
        <w:widowControl w:val="false"/>
        <w:numPr>
          <w:ilvl w:val="0"/>
          <w:numId w:val="9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Správce zpracovává Va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še identifikačn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a kontaktní údaje a údaje nezbytné pro pln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smlouvy. 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III.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Zákonný d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ůvod a 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ú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čel zpracov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ání osobních údaj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ů</w:t>
      </w:r>
    </w:p>
    <w:p>
      <w:pPr>
        <w:widowControl w:val="false"/>
        <w:numPr>
          <w:ilvl w:val="0"/>
          <w:numId w:val="12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Zákonným 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ůvodem zpracov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ání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je </w:t>
      </w:r>
    </w:p>
    <w:p>
      <w:pPr>
        <w:widowControl w:val="false"/>
        <w:numPr>
          <w:ilvl w:val="0"/>
          <w:numId w:val="12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pln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smlouvy mezi Vámi a správcem podle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čl. 6 odst. 1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ísm. b) GDPR,</w:t>
      </w:r>
    </w:p>
    <w:p>
      <w:pPr>
        <w:widowControl w:val="false"/>
        <w:numPr>
          <w:ilvl w:val="0"/>
          <w:numId w:val="12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oprávn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ý zájem správce na poskytování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ímého marketingu (zejména pro zasílání obchodních sd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ělen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a newsletter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ů) podle čl. 6 odst. 1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ísm. f) GDPR,</w:t>
      </w:r>
    </w:p>
    <w:p>
      <w:pPr>
        <w:widowControl w:val="false"/>
        <w:numPr>
          <w:ilvl w:val="0"/>
          <w:numId w:val="12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Vá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 souhlas se zpracov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áním pro ú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čely poskytov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ání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ímého marketingu (zejména pro zasílání obchodních sd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ělen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a newsletter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ů) podle čl. 6 odst. 1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ísm. a) GDPR ve spojení s § 7 odst. 2 zákona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č. 480/2004 Sb., o někter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ých slu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žb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ách informa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spole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čnosti v př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ě, že nedošlo k objedn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ávce zbo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nebo slu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žby. </w:t>
      </w:r>
    </w:p>
    <w:p>
      <w:pPr>
        <w:widowControl w:val="false"/>
        <w:numPr>
          <w:ilvl w:val="0"/>
          <w:numId w:val="12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Ú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čelem zpracov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ání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je</w:t>
      </w:r>
    </w:p>
    <w:p>
      <w:pPr>
        <w:widowControl w:val="false"/>
        <w:numPr>
          <w:ilvl w:val="0"/>
          <w:numId w:val="12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vy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ízení Va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objednávky a výkon práv a povinností vyplývajících ze smluvního vztahu mezi Vámi a správcem;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ři objedn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ávce jsou vy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žadov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ány osobní údaje, které jsou nutné pro úsp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ěšn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 vy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ízení objednávky (jméno a adresa, kontakt), poskytnutí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je nutn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ým po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žadavkem pro uzavřen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a pln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smlouvy, bez poskytnutí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nen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mo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 smlouvu uzav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ít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či 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ze strany správce plnit,</w:t>
      </w:r>
    </w:p>
    <w:p>
      <w:pPr>
        <w:widowControl w:val="false"/>
        <w:numPr>
          <w:ilvl w:val="0"/>
          <w:numId w:val="12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zasílání obchodních sd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ělen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a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činěn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dal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ích marketingových aktivit. </w:t>
      </w:r>
    </w:p>
    <w:p>
      <w:pPr>
        <w:widowControl w:val="false"/>
        <w:numPr>
          <w:ilvl w:val="0"/>
          <w:numId w:val="12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Ze strany správce dochází k automatickému individuálnímu rozhodování ve smyslu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čl. 22 GDPR. S takov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ým zpracováním jste poskytl/a sv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ůj 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ýslovný souhlas. 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IV.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Doba uchovávání údaj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ů</w:t>
      </w:r>
    </w:p>
    <w:p>
      <w:pPr>
        <w:widowControl w:val="false"/>
        <w:numPr>
          <w:ilvl w:val="0"/>
          <w:numId w:val="19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Správce uchovává osobní údaje </w:t>
      </w:r>
    </w:p>
    <w:p>
      <w:pPr>
        <w:widowControl w:val="false"/>
        <w:numPr>
          <w:ilvl w:val="0"/>
          <w:numId w:val="19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po dobu nezbytnou k výkonu práv a povinností vyplývajících ze smluvního vztahu mezi Vámi a správcem a uplat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ňov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ání nárok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z těchto smluvn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ích vztah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(po dobu 15 let od ukončen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smluvního vztahu). </w:t>
      </w:r>
    </w:p>
    <w:p>
      <w:pPr>
        <w:widowControl w:val="false"/>
        <w:numPr>
          <w:ilvl w:val="0"/>
          <w:numId w:val="19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po dobu, ne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 je odvol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án souhlas se zpracováním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pro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ú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čely marketingu, nejd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éle …. let, jsou-li osobní údaje zpracovávány na základ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 souhlasu. </w:t>
      </w:r>
    </w:p>
    <w:p>
      <w:pPr>
        <w:widowControl w:val="false"/>
        <w:numPr>
          <w:ilvl w:val="0"/>
          <w:numId w:val="19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Po uplynutí doby uchovávání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spr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ávce osobní údaje vyma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že. 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V.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íjemci osobních údaj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ů (subdodavatel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é správce)</w:t>
      </w:r>
    </w:p>
    <w:p>
      <w:pPr>
        <w:widowControl w:val="false"/>
        <w:numPr>
          <w:ilvl w:val="0"/>
          <w:numId w:val="24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íjemci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jsou osoby </w:t>
      </w:r>
    </w:p>
    <w:p>
      <w:pPr>
        <w:widowControl w:val="false"/>
        <w:numPr>
          <w:ilvl w:val="0"/>
          <w:numId w:val="24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podílející se na dodání zbo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/ slu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žeb / realizaci plateb na z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áklad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 smlouvy, </w:t>
      </w:r>
    </w:p>
    <w:p>
      <w:pPr>
        <w:widowControl w:val="false"/>
        <w:numPr>
          <w:ilvl w:val="0"/>
          <w:numId w:val="24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podílející se na zaji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štěn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provozu slu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žeb,</w:t>
      </w:r>
    </w:p>
    <w:p>
      <w:pPr>
        <w:widowControl w:val="false"/>
        <w:numPr>
          <w:ilvl w:val="0"/>
          <w:numId w:val="24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zaji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šťuj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ící marketingové slu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žby.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Správce nemá v úmyslu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ředat osobn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údaje do 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řet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zem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 (do země mimo EU) nebo mezin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árodní organizaci. 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VI.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Va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še pr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áva</w:t>
      </w:r>
    </w:p>
    <w:p>
      <w:pPr>
        <w:widowControl w:val="false"/>
        <w:numPr>
          <w:ilvl w:val="0"/>
          <w:numId w:val="27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Za podmínek stanovených v GDPR máte </w:t>
      </w:r>
    </w:p>
    <w:p>
      <w:pPr>
        <w:widowControl w:val="false"/>
        <w:numPr>
          <w:ilvl w:val="0"/>
          <w:numId w:val="27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právo na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ístup ke svým osobním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ům dle čl. 15 GDPR, </w:t>
      </w:r>
    </w:p>
    <w:p>
      <w:pPr>
        <w:widowControl w:val="false"/>
        <w:numPr>
          <w:ilvl w:val="0"/>
          <w:numId w:val="27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právo opravu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dle čl. 16 GDPR, popř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 omezen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zpracování dle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čl. 18 GDPR. </w:t>
      </w:r>
    </w:p>
    <w:p>
      <w:pPr>
        <w:widowControl w:val="false"/>
        <w:numPr>
          <w:ilvl w:val="0"/>
          <w:numId w:val="27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právo na výmaz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dle čl. 17 GDPR. </w:t>
      </w:r>
    </w:p>
    <w:p>
      <w:pPr>
        <w:widowControl w:val="false"/>
        <w:numPr>
          <w:ilvl w:val="0"/>
          <w:numId w:val="27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právo vznést námitku proti zpracování dle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čl. 21 GDPR a </w:t>
      </w:r>
    </w:p>
    <w:p>
      <w:pPr>
        <w:widowControl w:val="false"/>
        <w:numPr>
          <w:ilvl w:val="0"/>
          <w:numId w:val="27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právo na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řenositelnost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dle čl. 20 GDPR. </w:t>
      </w:r>
    </w:p>
    <w:p>
      <w:pPr>
        <w:widowControl w:val="false"/>
        <w:numPr>
          <w:ilvl w:val="0"/>
          <w:numId w:val="27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právo odvolat souhlas se zpracováním písemn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 nebo elektronicky na adresu nebo email spr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ávce uvedený v 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čl. III těchto podm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ínek. </w:t>
      </w:r>
    </w:p>
    <w:p>
      <w:pPr>
        <w:widowControl w:val="false"/>
        <w:numPr>
          <w:ilvl w:val="0"/>
          <w:numId w:val="27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Dále máte právo podat stí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žnost u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Ú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řadu pro ochranu osobn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v př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ě, že se domn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íváte,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že bylo porušeno Vaš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právo na ochranu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ů.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VII.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Podmínky zabezpe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čen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í osobních údaj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ů</w:t>
      </w:r>
    </w:p>
    <w:p>
      <w:pPr>
        <w:widowControl w:val="false"/>
        <w:numPr>
          <w:ilvl w:val="0"/>
          <w:numId w:val="32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Správce prohla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šuje, že přijal vešker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 vhodná technická a organiza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opat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k zabezpe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ů.</w:t>
      </w:r>
    </w:p>
    <w:p>
      <w:pPr>
        <w:widowControl w:val="false"/>
        <w:numPr>
          <w:ilvl w:val="0"/>
          <w:numId w:val="32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Správce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řijal technick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 opat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k zabezpe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datových úlo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žišť a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úlo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žišť osobn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v listinn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 podob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ě.</w:t>
      </w:r>
    </w:p>
    <w:p>
      <w:pPr>
        <w:widowControl w:val="false"/>
        <w:numPr>
          <w:ilvl w:val="0"/>
          <w:numId w:val="32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Správce prohla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šuje, že k osobn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ům maj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ístup pouze jím pov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ěřen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 osoby.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VIII.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Záv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ěrečn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á ustanovení</w:t>
      </w:r>
    </w:p>
    <w:p>
      <w:pPr>
        <w:widowControl w:val="false"/>
        <w:numPr>
          <w:ilvl w:val="0"/>
          <w:numId w:val="35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Odesláním objednávky z internetového objednávkového formulá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ře potvrzujete, že jste sezn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ámen/a s podmínkami ochrany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a že je v cel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ém rozsahu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řij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ímáte.</w:t>
      </w:r>
    </w:p>
    <w:p>
      <w:pPr>
        <w:widowControl w:val="false"/>
        <w:numPr>
          <w:ilvl w:val="0"/>
          <w:numId w:val="35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 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ěmito podm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ínkami souhlasíte za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škrtnut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 souhlasu prost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řednictv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 internetového formulá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ře. Zaškrtnut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 souhlasu potvrzujete,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že jste sezn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ámen/a s podmínkami ochrany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a že je v cel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ém rozsahu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řij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ímáte.</w:t>
      </w:r>
    </w:p>
    <w:p>
      <w:pPr>
        <w:widowControl w:val="false"/>
        <w:numPr>
          <w:ilvl w:val="0"/>
          <w:numId w:val="35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Správce je oprávn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ěn tyto podm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ínky zm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ěnit. Novou verzi podm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ínek ochrany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zveřejn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na svých internetových stránkách,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ípadn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 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ám za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šle novou verzi těchto podm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ínek na e-mailovou adresu, kterou jste správci poskytl/a.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Tyto podmínky nabývají ú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činnosti dnem 27.8.2025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624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4">
    <w:abstractNumId w:val="48"/>
  </w:num>
  <w:num w:numId="6">
    <w:abstractNumId w:val="42"/>
  </w:num>
  <w:num w:numId="9">
    <w:abstractNumId w:val="36"/>
  </w:num>
  <w:num w:numId="12">
    <w:abstractNumId w:val="30"/>
  </w:num>
  <w:num w:numId="19">
    <w:abstractNumId w:val="24"/>
  </w:num>
  <w:num w:numId="24">
    <w:abstractNumId w:val="18"/>
  </w:num>
  <w:num w:numId="27">
    <w:abstractNumId w:val="12"/>
  </w:num>
  <w:num w:numId="32">
    <w:abstractNumId w:val="6"/>
  </w: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